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CF" w:rsidRDefault="00D646CF" w:rsidP="00D646CF">
      <w:pPr>
        <w:spacing w:before="57" w:after="57" w:line="240" w:lineRule="auto"/>
        <w:ind w:left="142" w:right="57"/>
        <w:jc w:val="center"/>
        <w:rPr>
          <w:rFonts w:cs="Arial"/>
          <w:b/>
          <w:bCs/>
          <w:sz w:val="24"/>
          <w:szCs w:val="24"/>
          <w:shd w:val="clear" w:color="auto" w:fill="FFFF00"/>
        </w:rPr>
      </w:pPr>
      <w:r w:rsidRPr="000E5077">
        <w:rPr>
          <w:rFonts w:cs="Arial"/>
          <w:b/>
          <w:bCs/>
          <w:sz w:val="24"/>
          <w:szCs w:val="24"/>
          <w:shd w:val="clear" w:color="auto" w:fill="FFFF00"/>
        </w:rPr>
        <w:t>AKTIVITY DO AKČNÍHO PLÁNU MAP ORP ČB</w:t>
      </w:r>
      <w:r>
        <w:rPr>
          <w:rFonts w:cs="Arial"/>
          <w:b/>
          <w:bCs/>
          <w:sz w:val="24"/>
          <w:szCs w:val="24"/>
          <w:shd w:val="clear" w:color="auto" w:fill="FFFF00"/>
        </w:rPr>
        <w:t xml:space="preserve"> – Základní</w:t>
      </w:r>
      <w:r w:rsidRPr="000E5077">
        <w:rPr>
          <w:rFonts w:cs="Arial"/>
          <w:b/>
          <w:bCs/>
          <w:sz w:val="24"/>
          <w:szCs w:val="24"/>
          <w:shd w:val="clear" w:color="auto" w:fill="FFFF00"/>
        </w:rPr>
        <w:t xml:space="preserve"> vzdělávání</w:t>
      </w:r>
    </w:p>
    <w:p w:rsidR="0055072C" w:rsidRDefault="0055072C" w:rsidP="00D646CF">
      <w:pPr>
        <w:spacing w:before="57" w:after="57" w:line="240" w:lineRule="auto"/>
        <w:ind w:left="142" w:right="57"/>
        <w:jc w:val="center"/>
        <w:rPr>
          <w:rFonts w:cs="Arial"/>
          <w:b/>
          <w:bCs/>
          <w:sz w:val="24"/>
          <w:szCs w:val="24"/>
          <w:shd w:val="clear" w:color="auto" w:fill="FFFF00"/>
        </w:rPr>
      </w:pPr>
    </w:p>
    <w:p w:rsidR="00D646CF" w:rsidRPr="0055072C" w:rsidRDefault="0055072C" w:rsidP="0055072C">
      <w:pPr>
        <w:pStyle w:val="Standard"/>
        <w:spacing w:before="57" w:after="57" w:line="240" w:lineRule="auto"/>
        <w:ind w:left="114" w:right="57"/>
        <w:jc w:val="both"/>
      </w:pPr>
      <w:r>
        <w:rPr>
          <w:rFonts w:ascii="Calibri" w:hAnsi="Calibri" w:cs="Arial"/>
          <w:b/>
          <w:bCs/>
          <w:sz w:val="24"/>
          <w:szCs w:val="24"/>
          <w:shd w:val="clear" w:color="auto" w:fill="FFFF00"/>
        </w:rPr>
        <w:t>Zajištění a zvýšení dostupnosti a kvality regionálního základního školství v ORP České Budějovice</w:t>
      </w:r>
    </w:p>
    <w:p w:rsidR="00A529C7" w:rsidRDefault="009F26C0" w:rsidP="00D646CF">
      <w:pPr>
        <w:pStyle w:val="Standard"/>
        <w:spacing w:before="57" w:after="57" w:line="240" w:lineRule="auto"/>
        <w:ind w:left="114" w:right="57"/>
        <w:rPr>
          <w:rFonts w:ascii="Calibri" w:hAnsi="Calibri" w:cs="Arial"/>
          <w:b/>
          <w:bCs/>
          <w:shd w:val="clear" w:color="auto" w:fill="FFFF00"/>
        </w:rPr>
      </w:pPr>
      <w:r>
        <w:rPr>
          <w:rFonts w:ascii="Calibri" w:hAnsi="Calibri" w:cs="Arial"/>
          <w:b/>
          <w:bCs/>
          <w:shd w:val="clear" w:color="auto" w:fill="FFFF00"/>
        </w:rPr>
        <w:t>Modernizace vybavení škol s důrazem na zvyšování kvality výuky</w:t>
      </w: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 xml:space="preserve">Vybavení pro zkvalitnění </w:t>
      </w:r>
      <w:r w:rsidRPr="00D646CF">
        <w:rPr>
          <w:b/>
        </w:rPr>
        <w:t>výuky v souvislosti s budováním odborných učeben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>Vybavení pro zkvalitn</w:t>
      </w:r>
      <w:r w:rsidRPr="00D646CF">
        <w:rPr>
          <w:rFonts w:cs="TimesNewRoman"/>
          <w:b/>
        </w:rPr>
        <w:t>ě</w:t>
      </w:r>
      <w:r w:rsidRPr="00D646CF">
        <w:rPr>
          <w:b/>
        </w:rPr>
        <w:t>ní výuky v souvislosti s budováním kmenových učeben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>Vybavení za účelem zkvalitnění dopravní a zdravotní výuky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>Vybavení pro polytechnickou výchovu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>Vybavení pro čtenářskou gramotnost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>Vybavení pro matematickou gramotnost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D646CF">
        <w:rPr>
          <w:b/>
        </w:rPr>
        <w:t xml:space="preserve">Vybavení pro </w:t>
      </w:r>
      <w:proofErr w:type="spellStart"/>
      <w:r w:rsidRPr="00D646CF">
        <w:rPr>
          <w:b/>
        </w:rPr>
        <w:t>enviromentální</w:t>
      </w:r>
      <w:proofErr w:type="spellEnd"/>
      <w:r w:rsidRPr="00D646CF">
        <w:rPr>
          <w:b/>
        </w:rPr>
        <w:t xml:space="preserve"> výchovu a osvětu</w:t>
      </w: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  <w:r>
        <w:rPr>
          <w:rFonts w:cs="Times-Roman"/>
          <w:i/>
        </w:rPr>
        <w:t>Popis aktivity, co by bylo v Z</w:t>
      </w:r>
      <w:r w:rsidRPr="000E5077">
        <w:rPr>
          <w:rFonts w:cs="Times-Roman"/>
          <w:i/>
        </w:rPr>
        <w:t>Š potřeb</w:t>
      </w:r>
      <w:r>
        <w:rPr>
          <w:rFonts w:cs="Times-Roman"/>
          <w:i/>
        </w:rPr>
        <w:t>a</w:t>
      </w:r>
      <w:r w:rsidRPr="000E5077">
        <w:rPr>
          <w:rFonts w:cs="Times-Roman"/>
          <w:i/>
        </w:rPr>
        <w:t>:</w:t>
      </w:r>
    </w:p>
    <w:p w:rsidR="00D646CF" w:rsidRPr="000E5077" w:rsidRDefault="00D646CF" w:rsidP="00D646CF">
      <w:pPr>
        <w:spacing w:before="57" w:after="57" w:line="240" w:lineRule="auto"/>
        <w:ind w:left="142" w:right="57"/>
        <w:rPr>
          <w:rFonts w:cs="Times-Roman"/>
          <w:i/>
        </w:rPr>
      </w:pPr>
    </w:p>
    <w:p w:rsidR="00D646CF" w:rsidRDefault="00D646CF" w:rsidP="00D646CF">
      <w:pPr>
        <w:spacing w:before="57" w:after="57" w:line="240" w:lineRule="auto"/>
        <w:ind w:left="142" w:right="57"/>
        <w:rPr>
          <w:rFonts w:cs="Times-Roman"/>
        </w:rPr>
      </w:pPr>
      <w:r>
        <w:rPr>
          <w:rFonts w:cs="Times-Roman"/>
        </w:rPr>
        <w:t>…………………………………………………………</w:t>
      </w:r>
    </w:p>
    <w:p w:rsidR="00D646CF" w:rsidRPr="00D646CF" w:rsidRDefault="00D646CF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pStyle w:val="Standard"/>
        <w:spacing w:before="57" w:after="57" w:line="240" w:lineRule="auto"/>
        <w:ind w:left="114" w:right="57"/>
      </w:pPr>
      <w:r>
        <w:rPr>
          <w:rFonts w:ascii="Calibri" w:hAnsi="Calibri" w:cs="Arial"/>
          <w:b/>
          <w:bCs/>
          <w:shd w:val="clear" w:color="auto" w:fill="FFFF00"/>
        </w:rPr>
        <w:t>Zvyšování kvality základního vzdělávání</w:t>
      </w: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 xml:space="preserve">Rozvoj čtenářské gramotnosti v základních školách  - motivace žáků ke čtení, čtenářské kluby, spolupráce s místními knihovnami, nové </w:t>
      </w:r>
      <w:r w:rsidRPr="0055072C">
        <w:rPr>
          <w:b/>
        </w:rPr>
        <w:t>metody ve výuce zaměřené na čtenářskou gramotnost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lastRenderedPageBreak/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Rozvoj matematické gramotnosti v základních školách - podpora zájmu žáků o matematiku, kluby zábavné logiky a deskových her, využití nových metod výuky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Zlepšování podmínek pro rozvoj jazykové výuky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rFonts w:cs="Times-Roman"/>
          <w:b/>
        </w:rPr>
      </w:pPr>
      <w:r w:rsidRPr="0055072C">
        <w:rPr>
          <w:b/>
        </w:rPr>
        <w:t>Osobnost</w:t>
      </w:r>
      <w:r w:rsidRPr="0055072C">
        <w:rPr>
          <w:b/>
        </w:rPr>
        <w:t>ně sociální a profesní rozvoj pedagogů ZŠ (</w:t>
      </w:r>
      <w:r w:rsidRPr="0055072C">
        <w:rPr>
          <w:rFonts w:cs="Times-Roman"/>
          <w:b/>
        </w:rPr>
        <w:t>osobnostní plán rozvoje, profesní portfolio, rozvojový plán školy apod.)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Osobnostně sociální a profesní rozvoj vedoucích pracovníků ZŠ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rFonts w:cs="Times-Roman"/>
          <w:b/>
        </w:rPr>
      </w:pPr>
      <w:r w:rsidRPr="0055072C">
        <w:rPr>
          <w:rFonts w:cs="Times-Roman"/>
          <w:b/>
          <w:bCs/>
        </w:rPr>
        <w:t>Setkávání, výměny zkušeností</w:t>
      </w:r>
      <w:r w:rsidRPr="0055072C">
        <w:rPr>
          <w:rFonts w:cs="Times-Roman"/>
          <w:b/>
        </w:rPr>
        <w:t xml:space="preserve">, </w:t>
      </w:r>
      <w:proofErr w:type="spellStart"/>
      <w:r w:rsidRPr="0055072C">
        <w:rPr>
          <w:rFonts w:cs="Times-Roman"/>
          <w:b/>
        </w:rPr>
        <w:t>teambuilding</w:t>
      </w:r>
      <w:proofErr w:type="spellEnd"/>
      <w:r w:rsidRPr="0055072C">
        <w:rPr>
          <w:rFonts w:cs="Times-Roman"/>
          <w:b/>
        </w:rPr>
        <w:t>, exkurze pro pedagogický sbor v rám</w:t>
      </w:r>
      <w:r w:rsidRPr="0055072C">
        <w:rPr>
          <w:rFonts w:cs="Times-Roman"/>
          <w:b/>
        </w:rPr>
        <w:t>ci školy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rFonts w:cs="Times-Roman"/>
          <w:b/>
        </w:rPr>
        <w:t>Kultivace vnitřního klimatu školy (</w:t>
      </w:r>
      <w:r w:rsidRPr="0055072C">
        <w:rPr>
          <w:b/>
        </w:rPr>
        <w:t>možná témata např. sebereflexe, syndrom vyhoření, práce s problematickým žákem, kolektivem apod.)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Rozvoj kariérového poradenství v základních školách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Zavádění badatelského vzdělávání včetně činnostního učení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lastRenderedPageBreak/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55072C">
      <w:pPr>
        <w:spacing w:before="57" w:after="57" w:line="240" w:lineRule="auto"/>
        <w:ind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Rozvoj sociálních a občanských kompetencí žáků, spolupráce s místní knihovn</w:t>
      </w:r>
      <w:r w:rsidRPr="0055072C">
        <w:rPr>
          <w:b/>
        </w:rPr>
        <w:t>ou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Rozvoj lokálního kulturního povědomí žáků a patriotismu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 xml:space="preserve">Rozšiřování </w:t>
      </w:r>
      <w:proofErr w:type="spellStart"/>
      <w:r w:rsidRPr="0055072C">
        <w:rPr>
          <w:b/>
        </w:rPr>
        <w:t>tématických</w:t>
      </w:r>
      <w:proofErr w:type="spellEnd"/>
      <w:r w:rsidRPr="0055072C">
        <w:rPr>
          <w:b/>
        </w:rPr>
        <w:t xml:space="preserve"> projektových dnů na ZŠ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Zvyšování participace žáků a zavádění žákovských parlamentů,</w:t>
      </w:r>
      <w:r w:rsidR="0055072C">
        <w:rPr>
          <w:b/>
        </w:rPr>
        <w:t xml:space="preserve"> popř. d</w:t>
      </w:r>
      <w:r w:rsidRPr="0055072C">
        <w:rPr>
          <w:b/>
        </w:rPr>
        <w:t>ětských zastupitelstev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 xml:space="preserve">Posilování mezinárodní spolupráce včetně výměnných pobytů a </w:t>
      </w:r>
      <w:r w:rsidR="0055072C">
        <w:rPr>
          <w:b/>
        </w:rPr>
        <w:t xml:space="preserve">výjezdů žáků do </w:t>
      </w:r>
      <w:r w:rsidRPr="0055072C">
        <w:rPr>
          <w:b/>
        </w:rPr>
        <w:t>zahraničí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55072C" w:rsidRDefault="0055072C" w:rsidP="0055072C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Personální podpora (správce sítě, ICT technik, školní asistent, speciální pedagog, školní psycholog, sociální pedagog a další)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Default="0055072C" w:rsidP="0055072C">
      <w:pPr>
        <w:spacing w:before="57" w:after="57" w:line="240" w:lineRule="auto"/>
        <w:ind w:left="114" w:right="57"/>
        <w:jc w:val="both"/>
        <w:rPr>
          <w:b/>
        </w:rPr>
      </w:pPr>
    </w:p>
    <w:p w:rsidR="0055072C" w:rsidRDefault="0055072C" w:rsidP="0055072C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Sdílený</w:t>
      </w:r>
      <w:r>
        <w:rPr>
          <w:b/>
        </w:rPr>
        <w:t xml:space="preserve"> poradce v právních oblastech, </w:t>
      </w:r>
      <w:r w:rsidRPr="0055072C">
        <w:rPr>
          <w:b/>
        </w:rPr>
        <w:t>projektový manažer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55072C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  <w:sectPr w:rsidR="0055072C" w:rsidRPr="0055072C">
          <w:pgSz w:w="11906" w:h="16838"/>
          <w:pgMar w:top="1417" w:right="1417" w:bottom="1417" w:left="1417" w:header="708" w:footer="708" w:gutter="0"/>
          <w:cols w:space="708"/>
        </w:sectPr>
      </w:pPr>
    </w:p>
    <w:p w:rsidR="00A529C7" w:rsidRDefault="009F26C0" w:rsidP="00D646CF">
      <w:pPr>
        <w:pStyle w:val="Standard"/>
        <w:spacing w:before="57" w:after="57" w:line="240" w:lineRule="auto"/>
        <w:ind w:left="114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  <w:r>
        <w:rPr>
          <w:rFonts w:ascii="Calibri" w:hAnsi="Calibri" w:cs="Arial"/>
          <w:b/>
          <w:bCs/>
          <w:sz w:val="24"/>
          <w:szCs w:val="24"/>
          <w:shd w:val="clear" w:color="auto" w:fill="FFFF00"/>
        </w:rPr>
        <w:lastRenderedPageBreak/>
        <w:t>Spolupráce - Posílení kooperací a spolupráce za účelem zvyšování kvality a efektivity výchovy předškolního a školního vzdělávání</w:t>
      </w:r>
    </w:p>
    <w:p w:rsidR="00A529C7" w:rsidRDefault="009F26C0" w:rsidP="00D646CF">
      <w:pPr>
        <w:pStyle w:val="Standard"/>
        <w:spacing w:before="57" w:after="57" w:line="240" w:lineRule="auto"/>
        <w:ind w:left="114" w:right="57"/>
        <w:rPr>
          <w:rFonts w:ascii="Calibri" w:hAnsi="Calibri" w:cs="Arial"/>
          <w:b/>
          <w:bCs/>
        </w:rPr>
      </w:pPr>
      <w:r w:rsidRPr="0055072C">
        <w:rPr>
          <w:rFonts w:ascii="Calibri" w:hAnsi="Calibri" w:cs="Arial"/>
          <w:b/>
          <w:bCs/>
          <w:highlight w:val="yellow"/>
        </w:rPr>
        <w:t>Podpora vzájemné spolupráce škol v území ORP České Budějovice prostřednictvím společných projektů a</w:t>
      </w:r>
      <w:r w:rsidRPr="0055072C">
        <w:rPr>
          <w:rFonts w:ascii="Calibri" w:hAnsi="Calibri" w:cs="Arial"/>
          <w:b/>
          <w:bCs/>
          <w:highlight w:val="yellow"/>
        </w:rPr>
        <w:t xml:space="preserve"> aktivit</w:t>
      </w: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Stáže pedagogů – příklady dobré praxe na jednotlivých ZŠ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Stáže pedagogů v</w:t>
      </w:r>
      <w:r w:rsidR="0055072C">
        <w:rPr>
          <w:b/>
        </w:rPr>
        <w:t> </w:t>
      </w:r>
      <w:r w:rsidRPr="0055072C">
        <w:rPr>
          <w:b/>
        </w:rPr>
        <w:t>zahraničí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 xml:space="preserve">Zlepšování provázanosti a </w:t>
      </w:r>
      <w:r w:rsidRPr="0055072C">
        <w:rPr>
          <w:b/>
        </w:rPr>
        <w:t>spolupráce škol při přechodu dětí ze ZŠ na SŠ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  <w:bCs/>
        </w:rPr>
        <w:t>R</w:t>
      </w:r>
      <w:r w:rsidRPr="0055072C">
        <w:rPr>
          <w:b/>
          <w:bCs/>
        </w:rPr>
        <w:t>ozšiřování polytechnické výuky –</w:t>
      </w:r>
      <w:r w:rsidRPr="0055072C">
        <w:rPr>
          <w:b/>
        </w:rPr>
        <w:t xml:space="preserve"> spolupráce škol s JHK (včetně spolupráce s firmami), SŠ, VŠ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Exkurze pedagogů a žáků do středných škol,</w:t>
      </w:r>
      <w:r w:rsidR="0055072C">
        <w:rPr>
          <w:b/>
        </w:rPr>
        <w:t xml:space="preserve"> </w:t>
      </w:r>
      <w:r w:rsidRPr="0055072C">
        <w:rPr>
          <w:b/>
        </w:rPr>
        <w:t>přechod dětí ze ZŠ na SŠ/  SOŠ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Tematická setkávání s rodiči žáků ZŠ i MŠ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Zvýšení informovanosti zřizovatelů v oblasti ško</w:t>
      </w:r>
      <w:r w:rsidRPr="0055072C">
        <w:rPr>
          <w:b/>
        </w:rPr>
        <w:t>lství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Den Techniky - polytechnická kooperace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Zapojování odborníků z praxe do výuky na školách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Propojení kariérového poradenství na ZŠ s personalisty firem, včetně exkurzí ve výrobních provozech firem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Spolupráce s poskytovateli sociálních služeb (</w:t>
      </w:r>
      <w:proofErr w:type="spellStart"/>
      <w:r w:rsidRPr="0055072C">
        <w:rPr>
          <w:b/>
        </w:rPr>
        <w:t>nízkopraho</w:t>
      </w:r>
      <w:r w:rsidRPr="0055072C">
        <w:rPr>
          <w:b/>
        </w:rPr>
        <w:t>vá</w:t>
      </w:r>
      <w:proofErr w:type="spellEnd"/>
      <w:r w:rsidRPr="0055072C">
        <w:rPr>
          <w:b/>
        </w:rPr>
        <w:t xml:space="preserve"> zařízení pro děti a mládež atd.) - prevence sociálně patologických jevů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Aktivity pro děti v době prázdnin (příměstské tábory s různým zaměřením – na techniku, biologii, jazyky apod.)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A529C7" w:rsidP="00D646CF">
      <w:pPr>
        <w:pStyle w:val="Odstavecseseznamem"/>
        <w:spacing w:before="57" w:after="57" w:line="240" w:lineRule="auto"/>
        <w:ind w:left="114" w:right="57"/>
        <w:jc w:val="both"/>
        <w:rPr>
          <w:rFonts w:ascii="Calibri" w:hAnsi="Calibri" w:cs="Arial"/>
        </w:rPr>
      </w:pPr>
    </w:p>
    <w:p w:rsidR="00A529C7" w:rsidRDefault="009F26C0" w:rsidP="00D646CF">
      <w:pPr>
        <w:pStyle w:val="Standard"/>
        <w:spacing w:before="57" w:after="57" w:line="240" w:lineRule="auto"/>
        <w:ind w:left="114" w:right="57"/>
      </w:pPr>
      <w:r w:rsidRPr="0055072C">
        <w:rPr>
          <w:rFonts w:ascii="Calibri" w:hAnsi="Calibri" w:cs="Arial"/>
          <w:b/>
          <w:bCs/>
          <w:highlight w:val="yellow"/>
        </w:rPr>
        <w:t>Excelentní centra a sdílená pracoviště</w:t>
      </w: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Vytvoření sítě škol na podporu</w:t>
      </w:r>
      <w:r w:rsidRPr="0055072C">
        <w:rPr>
          <w:b/>
        </w:rPr>
        <w:t xml:space="preserve"> polytechnické výuky (včetně zlepšení vybavení, dalšího vzdělávání pedagogických pracovníků, kooperace se zaměstnavateli a SŠ/SOŠ)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>
        <w:rPr>
          <w:rFonts w:cs="Times-Roman"/>
          <w:i/>
        </w:rPr>
        <w:t>Popis aktivity: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Vybudování excelentních vzdělávacích center pro MŠ, ZŠ i SŠ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>
        <w:rPr>
          <w:rFonts w:cs="Times-Roman"/>
          <w:i/>
        </w:rPr>
        <w:t>Popis aktivity: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9F26C0" w:rsidP="00D646CF">
      <w:pPr>
        <w:spacing w:before="57" w:after="57" w:line="240" w:lineRule="auto"/>
        <w:ind w:left="114" w:right="57"/>
        <w:jc w:val="both"/>
        <w:rPr>
          <w:b/>
        </w:rPr>
      </w:pPr>
      <w:r w:rsidRPr="0055072C">
        <w:rPr>
          <w:b/>
        </w:rPr>
        <w:t>Zajištění dopravy a dopravní obslužnosti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>
        <w:rPr>
          <w:rFonts w:cs="Times-Roman"/>
          <w:i/>
        </w:rPr>
        <w:t>Popis aktivity:</w:t>
      </w:r>
    </w:p>
    <w:p w:rsidR="0055072C" w:rsidRDefault="0055072C" w:rsidP="0055072C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55072C" w:rsidRPr="00F0318E" w:rsidRDefault="0055072C" w:rsidP="0055072C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55072C" w:rsidRPr="0055072C" w:rsidRDefault="0055072C" w:rsidP="00D646CF">
      <w:pPr>
        <w:spacing w:before="57" w:after="57" w:line="240" w:lineRule="auto"/>
        <w:ind w:left="114" w:right="57"/>
        <w:jc w:val="both"/>
        <w:rPr>
          <w:b/>
        </w:rPr>
      </w:pPr>
    </w:p>
    <w:p w:rsidR="00A529C7" w:rsidRDefault="00A529C7" w:rsidP="0055072C">
      <w:pPr>
        <w:pStyle w:val="Standard"/>
        <w:spacing w:before="57" w:after="57" w:line="240" w:lineRule="auto"/>
        <w:ind w:right="57"/>
        <w:jc w:val="both"/>
        <w:rPr>
          <w:rFonts w:ascii="Calibri" w:hAnsi="Calibri" w:cs="Arial"/>
        </w:rPr>
        <w:sectPr w:rsidR="00A529C7">
          <w:pgSz w:w="11906" w:h="16838"/>
          <w:pgMar w:top="1417" w:right="1417" w:bottom="1417" w:left="1417" w:header="708" w:footer="708" w:gutter="0"/>
          <w:cols w:space="708"/>
        </w:sectPr>
      </w:pPr>
      <w:bookmarkStart w:id="0" w:name="Bookmark"/>
      <w:bookmarkEnd w:id="0"/>
    </w:p>
    <w:p w:rsidR="00A529C7" w:rsidRDefault="00A529C7" w:rsidP="0055072C">
      <w:pPr>
        <w:pStyle w:val="Standard"/>
        <w:spacing w:before="57" w:after="57" w:line="240" w:lineRule="auto"/>
        <w:ind w:right="57"/>
        <w:jc w:val="both"/>
      </w:pPr>
    </w:p>
    <w:sectPr w:rsidR="00A529C7" w:rsidSect="00A529C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C0" w:rsidRDefault="009F26C0" w:rsidP="00A529C7">
      <w:pPr>
        <w:spacing w:after="0" w:line="240" w:lineRule="auto"/>
      </w:pPr>
      <w:r>
        <w:separator/>
      </w:r>
    </w:p>
  </w:endnote>
  <w:endnote w:type="continuationSeparator" w:id="0">
    <w:p w:rsidR="009F26C0" w:rsidRDefault="009F26C0" w:rsidP="00A5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-Roman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C0" w:rsidRDefault="009F26C0" w:rsidP="00A529C7">
      <w:pPr>
        <w:spacing w:after="0" w:line="240" w:lineRule="auto"/>
      </w:pPr>
      <w:r w:rsidRPr="00A529C7">
        <w:rPr>
          <w:color w:val="000000"/>
        </w:rPr>
        <w:separator/>
      </w:r>
    </w:p>
  </w:footnote>
  <w:footnote w:type="continuationSeparator" w:id="0">
    <w:p w:rsidR="009F26C0" w:rsidRDefault="009F26C0" w:rsidP="00A5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1E6"/>
    <w:multiLevelType w:val="multilevel"/>
    <w:tmpl w:val="03BCBE50"/>
    <w:lvl w:ilvl="0">
      <w:start w:val="1"/>
      <w:numFmt w:val="decimal"/>
      <w:lvlText w:val="%1."/>
      <w:lvlJc w:val="left"/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rPr>
        <w:b/>
        <w:bCs/>
        <w:sz w:val="22"/>
        <w:szCs w:val="22"/>
      </w:rPr>
    </w:lvl>
  </w:abstractNum>
  <w:abstractNum w:abstractNumId="1">
    <w:nsid w:val="1F24577B"/>
    <w:multiLevelType w:val="multilevel"/>
    <w:tmpl w:val="937A2980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2D892302"/>
    <w:multiLevelType w:val="multilevel"/>
    <w:tmpl w:val="78F25C2E"/>
    <w:styleLink w:val="WWNum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3A366CE5"/>
    <w:multiLevelType w:val="multilevel"/>
    <w:tmpl w:val="B61A7EC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F777E91"/>
    <w:multiLevelType w:val="multilevel"/>
    <w:tmpl w:val="B20017E0"/>
    <w:lvl w:ilvl="0">
      <w:start w:val="1"/>
      <w:numFmt w:val="decimal"/>
      <w:lvlText w:val=" %1 "/>
      <w:lvlJc w:val="left"/>
      <w:rPr>
        <w:b/>
        <w:bCs/>
        <w:sz w:val="22"/>
        <w:szCs w:val="22"/>
      </w:rPr>
    </w:lvl>
    <w:lvl w:ilvl="1">
      <w:start w:val="1"/>
      <w:numFmt w:val="decimal"/>
      <w:lvlText w:val=" %1.%2 "/>
      <w:lvlJc w:val="left"/>
      <w:rPr>
        <w:b/>
        <w:bCs/>
        <w:sz w:val="22"/>
        <w:szCs w:val="22"/>
      </w:rPr>
    </w:lvl>
    <w:lvl w:ilvl="2">
      <w:start w:val="1"/>
      <w:numFmt w:val="decimal"/>
      <w:lvlText w:val=" %1.%2.%3 "/>
      <w:lvlJc w:val="left"/>
      <w:rPr>
        <w:b/>
        <w:bCs/>
        <w:sz w:val="22"/>
        <w:szCs w:val="22"/>
      </w:rPr>
    </w:lvl>
    <w:lvl w:ilvl="3">
      <w:start w:val="1"/>
      <w:numFmt w:val="decimal"/>
      <w:lvlText w:val=" %1.%2.%3.%4 "/>
      <w:lvlJc w:val="left"/>
      <w:rPr>
        <w:b/>
        <w:bCs/>
        <w:sz w:val="22"/>
        <w:szCs w:val="22"/>
      </w:rPr>
    </w:lvl>
    <w:lvl w:ilvl="4">
      <w:start w:val="1"/>
      <w:numFmt w:val="decimal"/>
      <w:lvlText w:val=" %1.%2.%3.%4.%5 "/>
      <w:lvlJc w:val="left"/>
      <w:rPr>
        <w:b/>
        <w:bCs/>
        <w:sz w:val="22"/>
        <w:szCs w:val="22"/>
      </w:rPr>
    </w:lvl>
    <w:lvl w:ilvl="5">
      <w:start w:val="1"/>
      <w:numFmt w:val="decimal"/>
      <w:lvlText w:val=" %1.%2.%3.%4.%5.%6 "/>
      <w:lvlJc w:val="left"/>
      <w:rPr>
        <w:b/>
        <w:bCs/>
        <w:sz w:val="22"/>
        <w:szCs w:val="22"/>
      </w:rPr>
    </w:lvl>
    <w:lvl w:ilvl="6">
      <w:start w:val="1"/>
      <w:numFmt w:val="decimal"/>
      <w:lvlText w:val=" %1.%2.%3.%4.%5.%6.%7 "/>
      <w:lvlJc w:val="left"/>
      <w:rPr>
        <w:b/>
        <w:bCs/>
        <w:sz w:val="22"/>
        <w:szCs w:val="22"/>
      </w:rPr>
    </w:lvl>
    <w:lvl w:ilvl="7">
      <w:start w:val="1"/>
      <w:numFmt w:val="decimal"/>
      <w:lvlText w:val=" %1.%2.%3.%4.%5.%6.%7.%8 "/>
      <w:lvlJc w:val="left"/>
      <w:rPr>
        <w:b/>
        <w:bCs/>
        <w:sz w:val="22"/>
        <w:szCs w:val="22"/>
      </w:rPr>
    </w:lvl>
    <w:lvl w:ilvl="8">
      <w:start w:val="1"/>
      <w:numFmt w:val="decimal"/>
      <w:lvlText w:val=" %1.%2.%3.%4.%5.%6.%7.%8.%9 "/>
      <w:lvlJc w:val="left"/>
      <w:rPr>
        <w:b/>
        <w:bCs/>
        <w:sz w:val="22"/>
        <w:szCs w:val="22"/>
      </w:rPr>
    </w:lvl>
  </w:abstractNum>
  <w:abstractNum w:abstractNumId="5">
    <w:nsid w:val="670049AB"/>
    <w:multiLevelType w:val="multilevel"/>
    <w:tmpl w:val="D0FE320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A821AAB"/>
    <w:multiLevelType w:val="multilevel"/>
    <w:tmpl w:val="79F06A36"/>
    <w:styleLink w:val="WWNum1"/>
    <w:lvl w:ilvl="0">
      <w:numFmt w:val="bullet"/>
      <w:lvlText w:val="-"/>
      <w:lvlJc w:val="left"/>
      <w:rPr>
        <w:rFonts w:ascii="Times New Roman" w:hAnsi="Times New Roman" w:cs="Times-Roman"/>
        <w:sz w:val="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7DB72028"/>
    <w:multiLevelType w:val="multilevel"/>
    <w:tmpl w:val="AEB83D54"/>
    <w:styleLink w:val="WWNum2"/>
    <w:lvl w:ilvl="0">
      <w:numFmt w:val="bullet"/>
      <w:lvlText w:val=""/>
      <w:lvlJc w:val="left"/>
    </w:lvl>
    <w:lvl w:ilvl="1">
      <w:numFmt w:val="bullet"/>
      <w:lvlText w:val=""/>
      <w:lvlJc w:val="left"/>
    </w:lvl>
    <w:lvl w:ilvl="2">
      <w:numFmt w:val="bullet"/>
      <w:lvlText w:val=""/>
      <w:lvlJc w:val="left"/>
    </w:lvl>
    <w:lvl w:ilvl="3">
      <w:numFmt w:val="bullet"/>
      <w:lvlText w:val=""/>
      <w:lvlJc w:val="left"/>
    </w:lvl>
    <w:lvl w:ilvl="4">
      <w:numFmt w:val="bullet"/>
      <w:lvlText w:val=""/>
      <w:lvlJc w:val="left"/>
    </w:lvl>
    <w:lvl w:ilvl="5">
      <w:numFmt w:val="bullet"/>
      <w:lvlText w:val=""/>
      <w:lvlJc w:val="left"/>
    </w:lvl>
    <w:lvl w:ilvl="6">
      <w:numFmt w:val="bullet"/>
      <w:lvlText w:val=""/>
      <w:lvlJc w:val="left"/>
    </w:lvl>
    <w:lvl w:ilvl="7">
      <w:numFmt w:val="bullet"/>
      <w:lvlText w:val=""/>
      <w:lvlJc w:val="left"/>
    </w:lvl>
    <w:lvl w:ilvl="8">
      <w:numFmt w:val="bullet"/>
      <w:lvlText w:val=""/>
      <w:lvlJc w:val="left"/>
    </w:lvl>
  </w:abstractNum>
  <w:abstractNum w:abstractNumId="8">
    <w:nsid w:val="7ED51031"/>
    <w:multiLevelType w:val="multilevel"/>
    <w:tmpl w:val="90323706"/>
    <w:lvl w:ilvl="0">
      <w:start w:val="1"/>
      <w:numFmt w:val="decimal"/>
      <w:lvlText w:val=" %1 "/>
      <w:lvlJc w:val="left"/>
      <w:rPr>
        <w:b/>
        <w:bCs/>
        <w:sz w:val="22"/>
        <w:szCs w:val="22"/>
      </w:rPr>
    </w:lvl>
    <w:lvl w:ilvl="1">
      <w:start w:val="1"/>
      <w:numFmt w:val="decimal"/>
      <w:lvlText w:val=" %1.%2 "/>
      <w:lvlJc w:val="left"/>
      <w:rPr>
        <w:b/>
        <w:bCs/>
        <w:sz w:val="22"/>
        <w:szCs w:val="22"/>
      </w:rPr>
    </w:lvl>
    <w:lvl w:ilvl="2">
      <w:start w:val="1"/>
      <w:numFmt w:val="decimal"/>
      <w:lvlText w:val=" %1.%2.%3 "/>
      <w:lvlJc w:val="left"/>
      <w:rPr>
        <w:b/>
        <w:bCs/>
        <w:sz w:val="22"/>
        <w:szCs w:val="22"/>
      </w:rPr>
    </w:lvl>
    <w:lvl w:ilvl="3">
      <w:start w:val="1"/>
      <w:numFmt w:val="decimal"/>
      <w:lvlText w:val=" %1.%2.%3.%4 "/>
      <w:lvlJc w:val="left"/>
      <w:rPr>
        <w:b/>
        <w:bCs/>
        <w:sz w:val="22"/>
        <w:szCs w:val="22"/>
      </w:rPr>
    </w:lvl>
    <w:lvl w:ilvl="4">
      <w:start w:val="1"/>
      <w:numFmt w:val="decimal"/>
      <w:lvlText w:val=" %1.%2.%3.%4.%5 "/>
      <w:lvlJc w:val="left"/>
      <w:rPr>
        <w:b/>
        <w:bCs/>
        <w:sz w:val="22"/>
        <w:szCs w:val="22"/>
      </w:rPr>
    </w:lvl>
    <w:lvl w:ilvl="5">
      <w:start w:val="1"/>
      <w:numFmt w:val="decimal"/>
      <w:lvlText w:val=" %1.%2.%3.%4.%5.%6 "/>
      <w:lvlJc w:val="left"/>
      <w:rPr>
        <w:b/>
        <w:bCs/>
        <w:sz w:val="22"/>
        <w:szCs w:val="22"/>
      </w:rPr>
    </w:lvl>
    <w:lvl w:ilvl="6">
      <w:start w:val="1"/>
      <w:numFmt w:val="decimal"/>
      <w:lvlText w:val=" %1.%2.%3.%4.%5.%6.%7 "/>
      <w:lvlJc w:val="left"/>
      <w:rPr>
        <w:b/>
        <w:bCs/>
        <w:sz w:val="22"/>
        <w:szCs w:val="22"/>
      </w:rPr>
    </w:lvl>
    <w:lvl w:ilvl="7">
      <w:start w:val="1"/>
      <w:numFmt w:val="decimal"/>
      <w:lvlText w:val=" %1.%2.%3.%4.%5.%6.%7.%8 "/>
      <w:lvlJc w:val="left"/>
      <w:rPr>
        <w:b/>
        <w:bCs/>
        <w:sz w:val="22"/>
        <w:szCs w:val="22"/>
      </w:rPr>
    </w:lvl>
    <w:lvl w:ilvl="8">
      <w:start w:val="1"/>
      <w:numFmt w:val="decimal"/>
      <w:lvlText w:val=" %1.%2.%3.%4.%5.%6.%7.%8.%9 "/>
      <w:lvlJc w:val="left"/>
      <w:rPr>
        <w:b/>
        <w:bCs/>
        <w:sz w:val="22"/>
        <w:szCs w:val="22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29C7"/>
    <w:rsid w:val="0055072C"/>
    <w:rsid w:val="009F26C0"/>
    <w:rsid w:val="00A529C7"/>
    <w:rsid w:val="00D6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29C7"/>
    <w:pPr>
      <w:suppressAutoHyphens/>
    </w:pPr>
  </w:style>
  <w:style w:type="paragraph" w:styleId="Nadpis1">
    <w:name w:val="heading 1"/>
    <w:basedOn w:val="Standard"/>
    <w:next w:val="Textbody"/>
    <w:rsid w:val="00A529C7"/>
    <w:pPr>
      <w:keepNext/>
      <w:keepLines/>
      <w:spacing w:before="480" w:after="200" w:line="276" w:lineRule="auto"/>
      <w:outlineLvl w:val="0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529C7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rsid w:val="00A529C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A529C7"/>
    <w:pPr>
      <w:spacing w:after="120"/>
    </w:pPr>
  </w:style>
  <w:style w:type="paragraph" w:styleId="Seznam">
    <w:name w:val="List"/>
    <w:basedOn w:val="Textbody"/>
    <w:rsid w:val="00A529C7"/>
    <w:rPr>
      <w:rFonts w:cs="Mangal"/>
    </w:rPr>
  </w:style>
  <w:style w:type="paragraph" w:styleId="Titulek">
    <w:name w:val="caption"/>
    <w:basedOn w:val="Standard"/>
    <w:rsid w:val="00A529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529C7"/>
    <w:pPr>
      <w:suppressLineNumbers/>
    </w:pPr>
    <w:rPr>
      <w:rFonts w:cs="Mangal"/>
    </w:rPr>
  </w:style>
  <w:style w:type="paragraph" w:styleId="Odstavecseseznamem">
    <w:name w:val="List Paragraph"/>
    <w:basedOn w:val="Standard"/>
    <w:rsid w:val="00A529C7"/>
    <w:pPr>
      <w:ind w:left="720"/>
    </w:pPr>
  </w:style>
  <w:style w:type="paragraph" w:customStyle="1" w:styleId="Default">
    <w:name w:val="Default"/>
    <w:rsid w:val="00A529C7"/>
    <w:pPr>
      <w:widowControl/>
      <w:suppressAutoHyphens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rsid w:val="00A529C7"/>
    <w:rPr>
      <w:rFonts w:ascii="Arial" w:hAnsi="Arial"/>
    </w:rPr>
  </w:style>
  <w:style w:type="character" w:customStyle="1" w:styleId="Nadpis1Char">
    <w:name w:val="Nadpis 1 Char"/>
    <w:basedOn w:val="Standardnpsmoodstavce"/>
    <w:rsid w:val="00A529C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ListLabel1">
    <w:name w:val="ListLabel 1"/>
    <w:rsid w:val="00A529C7"/>
    <w:rPr>
      <w:rFonts w:cs="Times-Roman"/>
      <w:sz w:val="24"/>
    </w:rPr>
  </w:style>
  <w:style w:type="character" w:customStyle="1" w:styleId="ListLabel2">
    <w:name w:val="ListLabel 2"/>
    <w:rsid w:val="00A529C7"/>
    <w:rPr>
      <w:rFonts w:cs="Courier New"/>
    </w:rPr>
  </w:style>
  <w:style w:type="character" w:customStyle="1" w:styleId="ListLabel3">
    <w:name w:val="ListLabel 3"/>
    <w:rsid w:val="00A529C7"/>
    <w:rPr>
      <w:rFonts w:eastAsia="Calibri" w:cs="Times New Roman"/>
    </w:rPr>
  </w:style>
  <w:style w:type="character" w:customStyle="1" w:styleId="NumberingSymbols">
    <w:name w:val="Numbering Symbols"/>
    <w:rsid w:val="00A529C7"/>
    <w:rPr>
      <w:b/>
      <w:bCs/>
      <w:sz w:val="22"/>
      <w:szCs w:val="22"/>
    </w:rPr>
  </w:style>
  <w:style w:type="character" w:customStyle="1" w:styleId="BulletSymbols">
    <w:name w:val="Bullet Symbols"/>
    <w:rsid w:val="00A529C7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rsid w:val="00A529C7"/>
    <w:pPr>
      <w:numPr>
        <w:numId w:val="1"/>
      </w:numPr>
    </w:pPr>
  </w:style>
  <w:style w:type="numbering" w:customStyle="1" w:styleId="WWNum2">
    <w:name w:val="WWNum2"/>
    <w:basedOn w:val="Bezseznamu"/>
    <w:rsid w:val="00A529C7"/>
    <w:pPr>
      <w:numPr>
        <w:numId w:val="2"/>
      </w:numPr>
    </w:pPr>
  </w:style>
  <w:style w:type="numbering" w:customStyle="1" w:styleId="WWNum3">
    <w:name w:val="WWNum3"/>
    <w:basedOn w:val="Bezseznamu"/>
    <w:rsid w:val="00A529C7"/>
    <w:pPr>
      <w:numPr>
        <w:numId w:val="3"/>
      </w:numPr>
    </w:pPr>
  </w:style>
  <w:style w:type="numbering" w:customStyle="1" w:styleId="WWNum4">
    <w:name w:val="WWNum4"/>
    <w:basedOn w:val="Bezseznamu"/>
    <w:rsid w:val="00A529C7"/>
    <w:pPr>
      <w:numPr>
        <w:numId w:val="4"/>
      </w:numPr>
    </w:pPr>
  </w:style>
  <w:style w:type="numbering" w:customStyle="1" w:styleId="WWNum5">
    <w:name w:val="WWNum5"/>
    <w:basedOn w:val="Bezseznamu"/>
    <w:rsid w:val="00A529C7"/>
    <w:pPr>
      <w:numPr>
        <w:numId w:val="5"/>
      </w:numPr>
    </w:pPr>
  </w:style>
  <w:style w:type="numbering" w:customStyle="1" w:styleId="WWNum9">
    <w:name w:val="WWNum9"/>
    <w:basedOn w:val="Bezseznamu"/>
    <w:rsid w:val="00A529C7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876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Bohouš Topinka</dc:creator>
  <cp:lastModifiedBy>Ondřej Janáč</cp:lastModifiedBy>
  <cp:revision>3</cp:revision>
  <dcterms:created xsi:type="dcterms:W3CDTF">2017-10-20T11:29:00Z</dcterms:created>
  <dcterms:modified xsi:type="dcterms:W3CDTF">2017-10-20T11:37:00Z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